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97" w:rsidRDefault="00041397" w:rsidP="0004139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155CF1" w:rsidRPr="00155CF1" w:rsidRDefault="00155CF1" w:rsidP="00155CF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155CF1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Dodatkowe roczne świadczenie pieniężne dla emerytów i rencistów już w kwietniu</w:t>
      </w:r>
    </w:p>
    <w:p w:rsidR="00BD1494" w:rsidRPr="00BD1494" w:rsidRDefault="00BD1494" w:rsidP="00BD149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0F50EB" w:rsidRPr="000F50EB" w:rsidRDefault="000F50EB" w:rsidP="000F50E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155CF1" w:rsidRDefault="00155CF1" w:rsidP="00155CF1">
      <w:pPr>
        <w:pStyle w:val="Nagwek2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CF1">
        <w:rPr>
          <w:rFonts w:ascii="Arial" w:eastAsiaTheme="minorHAnsi" w:hAnsi="Arial" w:cs="Arial"/>
          <w:b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155CF1">
        <w:rPr>
          <w:rFonts w:ascii="Arial" w:hAnsi="Arial" w:cs="Arial"/>
          <w:b/>
          <w:color w:val="auto"/>
          <w:sz w:val="22"/>
          <w:szCs w:val="22"/>
        </w:rPr>
        <w:t>W kwietniowych terminach płatności</w:t>
      </w:r>
      <w:r w:rsidRPr="00155CF1">
        <w:rPr>
          <w:rFonts w:ascii="Arial" w:hAnsi="Arial" w:cs="Arial"/>
          <w:color w:val="auto"/>
          <w:sz w:val="22"/>
          <w:szCs w:val="22"/>
        </w:rPr>
        <w:t xml:space="preserve"> świadczeń emerytalno-rentowych, razem z emeryturą, rentą lub rodzicielskim świadczeniem uzupełniającym, Kasa Rolniczego Ubezpieczenia Społecznego, wzorem lat ubiegłych, wypłaci uprawnionym świadczeniobiorcom </w:t>
      </w:r>
      <w:r w:rsidRPr="00155CF1">
        <w:rPr>
          <w:rFonts w:ascii="Arial" w:hAnsi="Arial" w:cs="Arial"/>
          <w:b/>
          <w:color w:val="auto"/>
          <w:sz w:val="22"/>
          <w:szCs w:val="22"/>
        </w:rPr>
        <w:t>dodatkowe roczne świadczenie pieniężne</w:t>
      </w:r>
      <w:r w:rsidRPr="00155CF1">
        <w:rPr>
          <w:rFonts w:ascii="Arial" w:hAnsi="Arial" w:cs="Arial"/>
          <w:color w:val="auto"/>
          <w:sz w:val="22"/>
          <w:szCs w:val="22"/>
        </w:rPr>
        <w:t xml:space="preserve"> tzw. </w:t>
      </w:r>
      <w:r w:rsidRPr="00155CF1">
        <w:rPr>
          <w:rFonts w:ascii="Arial" w:hAnsi="Arial" w:cs="Arial"/>
          <w:b/>
          <w:color w:val="auto"/>
          <w:sz w:val="22"/>
          <w:szCs w:val="22"/>
        </w:rPr>
        <w:t>„trzynastą emeryturę”</w:t>
      </w:r>
      <w:r w:rsidRPr="00155CF1">
        <w:rPr>
          <w:rFonts w:ascii="Arial" w:hAnsi="Arial" w:cs="Arial"/>
          <w:color w:val="auto"/>
          <w:sz w:val="22"/>
          <w:szCs w:val="22"/>
        </w:rPr>
        <w:t>.</w:t>
      </w:r>
    </w:p>
    <w:p w:rsidR="00155CF1" w:rsidRPr="00155CF1" w:rsidRDefault="00155CF1" w:rsidP="00155CF1"/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>„Trzynasta emerytura” przysługuje wszystkim uprawnionym emerytom i rencistom w takiej samej wysokości (bez względu na wysokość pobieranego świadczenia), tj. w wysokości najniższej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CF1">
        <w:rPr>
          <w:rFonts w:ascii="Arial" w:eastAsia="Times New Roman" w:hAnsi="Arial" w:cs="Arial"/>
          <w:lang w:eastAsia="pl-PL"/>
        </w:rPr>
        <w:t>emerytury, która od 1 marca 2024 r. wynosi 1.780,96 zł brutto. Świadczenie to podlega opodatkowaniu podatkiem dochodowym od osób fizycznych i jest od niego odprowadzana składka na powszechne ubezpieczenie zdrowotne.</w:t>
      </w:r>
    </w:p>
    <w:p w:rsid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>Poza zaliczką na podatek dochodowy oraz składką na ubezpieczenie zdrowotne z dodatkowego rocznego świadczenia pieniężnego nie będą dokonywane żadne potrącenia i egzekucje.</w:t>
      </w: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>„Trzynasta emerytura” zostanie wypłacona z urzędu, czyli bez konieczności składania wniosku o to świadczenie.</w:t>
      </w: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>Świadczenie to przysługuje osobom, które na dzień 31 marca 2024 r. mają prawo do rolniczej emerytury lub renty, okresowej emerytury rolniczej bądź rodzicielskiego świadczenia</w:t>
      </w:r>
      <w:r w:rsidRPr="00155CF1">
        <w:rPr>
          <w:rFonts w:ascii="Arial" w:eastAsia="Times New Roman" w:hAnsi="Arial" w:cs="Arial"/>
          <w:lang w:eastAsia="pl-PL"/>
        </w:rPr>
        <w:br/>
        <w:t>uzupełniającego.</w:t>
      </w:r>
    </w:p>
    <w:p w:rsid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>Osobie, która ma prawo do kilku świadczeń, przysługuje tylko jedno dodatkowe roczne świadczenie pieniężne, które zostanie wypłacone przez właściwy organ emerytalno-rentowy. </w:t>
      </w: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 xml:space="preserve">Emerytom, którym KRUS wypłaca emeryturę rolniczą, a </w:t>
      </w:r>
      <w:r>
        <w:rPr>
          <w:rFonts w:ascii="Arial" w:eastAsia="Times New Roman" w:hAnsi="Arial" w:cs="Arial"/>
          <w:lang w:eastAsia="pl-PL"/>
        </w:rPr>
        <w:t>ZUS inne świadczenie emerytalno-</w:t>
      </w:r>
      <w:r w:rsidRPr="00155CF1">
        <w:rPr>
          <w:rFonts w:ascii="Arial" w:eastAsia="Times New Roman" w:hAnsi="Arial" w:cs="Arial"/>
          <w:lang w:eastAsia="pl-PL"/>
        </w:rPr>
        <w:t>rentowe, dodatkowe roczne świadczenie pieniężne wypłaci ZUS.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CF1">
        <w:rPr>
          <w:rFonts w:ascii="Arial" w:eastAsia="Times New Roman" w:hAnsi="Arial" w:cs="Arial"/>
          <w:lang w:eastAsia="pl-PL"/>
        </w:rPr>
        <w:t>Natomiast osobom, którym KRUS wypłaca w zbiegu emerytury i renty rolnicze wraz ze świadczeniem przyznanym przez ZUS, dodatkowe świadczenie pieniężne wypłaci KRUS.</w:t>
      </w: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 xml:space="preserve">Do renty rodzinnej, do której jest uprawniona więcej niż jedna osoba, przysługuje jedno dodatkowe świadczenie pieniężne w wysokości proporcjonalnej do liczby osób uprawnionych </w:t>
      </w:r>
      <w:r w:rsidRPr="00155CF1">
        <w:rPr>
          <w:rFonts w:ascii="Arial" w:eastAsia="Times New Roman" w:hAnsi="Arial" w:cs="Arial"/>
          <w:lang w:eastAsia="pl-PL"/>
        </w:rPr>
        <w:lastRenderedPageBreak/>
        <w:t>do renty na dzień 31 marca 2024 r., z wyłączeniem osób uprawnionych jednocześnie do renty socjalnej lub rodzicielskiego świadczenia uzupełniającego.</w:t>
      </w: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>Do każdego uprawnionego emeryta i rencisty zostanie wysłana decyzja o przyznaniu dodatkowego rocznego świadczenia pieniężnego. Razem z tą decyzją zostanie przekazana decyzja o podwyższeniu świadczeń od 1 marca 2024 r. (czyli tzw. decyzja waloryzacyjna).</w:t>
      </w:r>
    </w:p>
    <w:p w:rsidR="00155CF1" w:rsidRDefault="00155CF1" w:rsidP="00155CF1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155CF1" w:rsidRPr="00155CF1" w:rsidRDefault="00155CF1" w:rsidP="00155CF1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55CF1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 xml:space="preserve">Ustawa z 09 stycznia 2020 r. o dodatkowym rocznym świadczeniu pieniężnym dla emerytów i rencistów (Dz. U. z 2022 r.  poz. 2575 ze zm.) 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bookmarkStart w:id="0" w:name="_GoBack"/>
      <w:bookmarkEnd w:id="0"/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3"/>
  </w:num>
  <w:num w:numId="5">
    <w:abstractNumId w:val="0"/>
  </w:num>
  <w:num w:numId="6">
    <w:abstractNumId w:val="14"/>
  </w:num>
  <w:num w:numId="7">
    <w:abstractNumId w:val="6"/>
  </w:num>
  <w:num w:numId="8">
    <w:abstractNumId w:val="24"/>
  </w:num>
  <w:num w:numId="9">
    <w:abstractNumId w:val="3"/>
  </w:num>
  <w:num w:numId="10">
    <w:abstractNumId w:val="20"/>
  </w:num>
  <w:num w:numId="11">
    <w:abstractNumId w:val="7"/>
  </w:num>
  <w:num w:numId="12">
    <w:abstractNumId w:val="25"/>
  </w:num>
  <w:num w:numId="13">
    <w:abstractNumId w:val="15"/>
  </w:num>
  <w:num w:numId="14">
    <w:abstractNumId w:val="27"/>
  </w:num>
  <w:num w:numId="15">
    <w:abstractNumId w:val="22"/>
  </w:num>
  <w:num w:numId="16">
    <w:abstractNumId w:val="26"/>
  </w:num>
  <w:num w:numId="17">
    <w:abstractNumId w:val="28"/>
  </w:num>
  <w:num w:numId="18">
    <w:abstractNumId w:val="5"/>
  </w:num>
  <w:num w:numId="19">
    <w:abstractNumId w:val="1"/>
  </w:num>
  <w:num w:numId="20">
    <w:abstractNumId w:val="16"/>
  </w:num>
  <w:num w:numId="21">
    <w:abstractNumId w:val="13"/>
  </w:num>
  <w:num w:numId="22">
    <w:abstractNumId w:val="21"/>
  </w:num>
  <w:num w:numId="23">
    <w:abstractNumId w:val="2"/>
  </w:num>
  <w:num w:numId="24">
    <w:abstractNumId w:val="18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41397"/>
    <w:rsid w:val="000C289C"/>
    <w:rsid w:val="000C7F17"/>
    <w:rsid w:val="000F50EB"/>
    <w:rsid w:val="001453AB"/>
    <w:rsid w:val="00155CF1"/>
    <w:rsid w:val="00167BB3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C212C"/>
    <w:rsid w:val="005C50BE"/>
    <w:rsid w:val="00671335"/>
    <w:rsid w:val="006C3788"/>
    <w:rsid w:val="006C7F40"/>
    <w:rsid w:val="006D585A"/>
    <w:rsid w:val="0074097A"/>
    <w:rsid w:val="00920659"/>
    <w:rsid w:val="009A104C"/>
    <w:rsid w:val="00AE0EA5"/>
    <w:rsid w:val="00BD1494"/>
    <w:rsid w:val="00C366DE"/>
    <w:rsid w:val="00CA14B4"/>
    <w:rsid w:val="00D1359D"/>
    <w:rsid w:val="00E13189"/>
    <w:rsid w:val="00E82EAE"/>
    <w:rsid w:val="00EA7C9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95050B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34</cp:revision>
  <dcterms:created xsi:type="dcterms:W3CDTF">2021-10-26T09:42:00Z</dcterms:created>
  <dcterms:modified xsi:type="dcterms:W3CDTF">2024-03-28T07:37:00Z</dcterms:modified>
</cp:coreProperties>
</file>